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Casa Dragones reafirma su compromiso con la cultura al estar presente en la Semana del Arte 2023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La casa tequilera mexicana afianzó su apoyo a la escena del arte contemporáneo, al participar en galas, inauguraciones, presentaciones de nuevos espacios, así como exhibiciones artísticas durante la feria de arte que tiene lugar en la CDMX. </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b w:val="1"/>
          <w:rtl w:val="0"/>
        </w:rPr>
        <w:t xml:space="preserve">Ciudad de México, xx de febrero de 2023. </w:t>
      </w:r>
      <w:r w:rsidDel="00000000" w:rsidR="00000000" w:rsidRPr="00000000">
        <w:rPr>
          <w:rtl w:val="0"/>
        </w:rPr>
        <w:t xml:space="preserve">Con un programa que incluyó galas benéficas, presentaciones de nuevos espacios artísticos, así como inauguraciones de exhibiciones, Casa Dragones afianzó su compromiso con la escena cultural del país, al ser parte de la Semana del Arte 2023 que se llevó a cabo del 6 al 11 de febrero en la Ciudad de México. </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Previo a esta semana y para comenzar actividades culturales, Casa Dragones fue parte de la tradicional Gala del Museo de Arte Contemporáneo de Monterrey (MARCO) cuyo objetivo es la recaudación de fondos para impulsar proyectos culturales en beneficio de la comunidad en Nuevo León. Asimismo, la casa tequilera fue parte de</w:t>
      </w:r>
      <w:r w:rsidDel="00000000" w:rsidR="00000000" w:rsidRPr="00000000">
        <w:rPr>
          <w:color w:val="1d2228"/>
          <w:highlight w:val="white"/>
          <w:rtl w:val="0"/>
        </w:rPr>
        <w:t xml:space="preserve"> la inauguración de </w:t>
      </w:r>
      <w:r w:rsidDel="00000000" w:rsidR="00000000" w:rsidRPr="00000000">
        <w:rPr>
          <w:rtl w:val="0"/>
        </w:rPr>
        <w:t xml:space="preserve">la exposición audiovisual “Bonding” de la colección de Fundación Museo Jumex la cual consta de una selección de videos de Patricia Marshall, con una cena en honor a Eugenio López.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Por otro lado, para arrancar actividades en Ciudad de México, l</w:t>
      </w:r>
      <w:r w:rsidDel="00000000" w:rsidR="00000000" w:rsidRPr="00000000">
        <w:rPr>
          <w:rtl w:val="0"/>
        </w:rPr>
        <w:t xml:space="preserve">as etiquetas premium de la tequilera acompañaron diversos eventos entre los que destacan: </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t xml:space="preserve">La presentación de "Modèle Vivant" de Nairy Baghramian en la Galería Kurimanzutto con invitados especiales como Gabriel Orozco, José Noe Suro, Bárbara Sánchez Kane, José Kuri y Mónica Manzutto. Asimismo, la celebración del 40 aniversario de la Galería OMR con “Silent Matter”, la primera exposición individual en México de la artista germano-polaca Alicia Kwade la cual crea experiencias inmersivas basadas en conceptos complejos de tiempo, espacio, filosofía y ciencia.</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t xml:space="preserve">Por su parte, celebrando su quinto aniversario, MASA Galería, presentó dos exposiciones individuales inaugurales, una a cargo del artista Brian Thoreen 'Non-Zero-Sum' y la segunda de Mario Garcia Torres 'The Space Under My Chair &amp; The Music I Was Listening To en su nuevo espacio permanente en el corazón de la Ciudad de México. Además, Casa Dragones le dio la bienvenida a México a Mariane Ibrahim Gallery con una serie de actividades como parte de su inauguración presentando ‘La Memoria del Agua’ por el artista Clotilde Jiménez, inspirada en la naturaleza transformadora del agua. En dicha celebración, se ofrecieron cocteles especiales con Casa Dragones Blanco realizados por el restaurante afro-asiatico Kozo.</w:t>
      </w:r>
    </w:p>
    <w:p w:rsidR="00000000" w:rsidDel="00000000" w:rsidP="00000000" w:rsidRDefault="00000000" w:rsidRPr="00000000" w14:paraId="00000010">
      <w:pPr>
        <w:ind w:left="0" w:firstLine="0"/>
        <w:jc w:val="both"/>
        <w:rPr/>
      </w:pPr>
      <w:r w:rsidDel="00000000" w:rsidR="00000000" w:rsidRPr="00000000">
        <w:rPr>
          <w:rtl w:val="0"/>
        </w:rPr>
        <w:t xml:space="preserve"> </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Finalmente, Casa Dragones fue parte de la fiesta Desert Flood Party de LAGO/ALGO en donde sirvió su coctel Rococktail elaborado con Casa Dragones Blanco y un coctel creado por el aclamado artista Gabriel Rico además de una comida para coleccionistas a cargo del Restaurante Omega 3, el cual se presentó por primera vez fuera de Grecia con un menú especial para esta celebración. También, la galería Morán Morán llevó a cabo el solo-show de Tunji Adeniyi-Jones, Tranquil Dive y la Galería Nordenhake invitó a coleccionistas de renombre a una cena en la galería en donde degustaron Casa Dragones Añejo y conocieron la exposición de Miroslav Balka.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Para culminar con broche de oro, Tequila Casa Dragones por segundo año consecutivo, fue parte de la Gala 2023 a beneficio del Museo Tamayo, fortaleciendo su apoyo hacia esta institución, ya que es el evento de recaudación anual más importante organizado por la Fundación Olga y Rufino Tamayo (FORT) para apoyar al recinto y su programación, que durante décadas ha fungido como un sitio en donde las figuras más importantes de la escena cultural han expuesto sus creaciones. </w:t>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rtl w:val="0"/>
        </w:rPr>
        <w:t xml:space="preserve">Con esta serie de actividades, Casa Dragones reafrimó su compromiso con los artistas de la escena cultural mexicana, así como su pasión por impulsar el arte contemporáneo en nuestro país. </w:t>
      </w:r>
    </w:p>
    <w:p w:rsidR="00000000" w:rsidDel="00000000" w:rsidP="00000000" w:rsidRDefault="00000000" w:rsidRPr="00000000" w14:paraId="0000001A">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76" w:lineRule="auto"/>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10">
        <w:r w:rsidDel="00000000" w:rsidR="00000000" w:rsidRPr="00000000">
          <w:rPr>
            <w:color w:val="1155cc"/>
            <w:sz w:val="20"/>
            <w:szCs w:val="20"/>
            <w:u w:val="single"/>
            <w:rtl w:val="0"/>
          </w:rPr>
          <w:t xml:space="preserve">www.casadragones.com.mx</w:t>
        </w:r>
      </w:hyperlink>
      <w:r w:rsidDel="00000000" w:rsidR="00000000" w:rsidRPr="00000000">
        <w:rPr>
          <w:sz w:val="20"/>
          <w:szCs w:val="20"/>
          <w:rtl w:val="0"/>
        </w:rPr>
        <w:t xml:space="preserve">.</w:t>
      </w:r>
    </w:p>
    <w:p w:rsidR="00000000" w:rsidDel="00000000" w:rsidP="00000000" w:rsidRDefault="00000000" w:rsidRPr="00000000" w14:paraId="00000021">
      <w:pPr>
        <w:spacing w:line="276" w:lineRule="auto"/>
        <w:jc w:val="both"/>
        <w:rPr>
          <w:sz w:val="20"/>
          <w:szCs w:val="20"/>
        </w:rPr>
      </w:pPr>
      <w:r w:rsidDel="00000000" w:rsidR="00000000" w:rsidRPr="00000000">
        <w:rPr>
          <w:rtl w:val="0"/>
        </w:rPr>
      </w:r>
    </w:p>
    <w:p w:rsidR="00000000" w:rsidDel="00000000" w:rsidP="00000000" w:rsidRDefault="00000000" w:rsidRPr="00000000" w14:paraId="0000002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3">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4">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5">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6">
      <w:pPr>
        <w:spacing w:line="276"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28">
      <w:pPr>
        <w:spacing w:line="276" w:lineRule="auto"/>
        <w:jc w:val="both"/>
        <w:rPr>
          <w:sz w:val="20"/>
          <w:szCs w:val="20"/>
        </w:rPr>
      </w:pPr>
      <w:r w:rsidDel="00000000" w:rsidR="00000000" w:rsidRPr="00000000">
        <w:rPr>
          <w:rtl w:val="0"/>
        </w:rPr>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A">
      <w:pPr>
        <w:spacing w:line="276" w:lineRule="auto"/>
        <w:jc w:val="both"/>
        <w:rPr>
          <w:sz w:val="20"/>
          <w:szCs w:val="20"/>
        </w:rPr>
      </w:pPr>
      <w:r w:rsidDel="00000000" w:rsidR="00000000" w:rsidRPr="00000000">
        <w:rPr>
          <w:sz w:val="20"/>
          <w:szCs w:val="20"/>
          <w:rtl w:val="0"/>
        </w:rPr>
        <w:t xml:space="preserve">M. + (521) 5539017361</w:t>
      </w:r>
    </w:p>
    <w:p w:rsidR="00000000" w:rsidDel="00000000" w:rsidP="00000000" w:rsidRDefault="00000000" w:rsidRPr="00000000" w14:paraId="0000002B">
      <w:pPr>
        <w:spacing w:line="276" w:lineRule="auto"/>
        <w:jc w:val="both"/>
        <w:rPr>
          <w:sz w:val="20"/>
          <w:szCs w:val="20"/>
        </w:rPr>
      </w:pPr>
      <w:hyperlink r:id="rId11">
        <w:r w:rsidDel="00000000" w:rsidR="00000000" w:rsidRPr="00000000">
          <w:rPr>
            <w:color w:val="1155cc"/>
            <w:sz w:val="20"/>
            <w:szCs w:val="20"/>
            <w:u w:val="single"/>
            <w:rtl w:val="0"/>
          </w:rPr>
          <w:t xml:space="preserve">mare.barquera@another.co</w:t>
        </w:r>
      </w:hyperlink>
      <w:r w:rsidDel="00000000" w:rsidR="00000000" w:rsidRPr="00000000">
        <w:rPr>
          <w:rtl w:val="0"/>
        </w:rPr>
      </w:r>
    </w:p>
    <w:p w:rsidR="00000000" w:rsidDel="00000000" w:rsidP="00000000" w:rsidRDefault="00000000" w:rsidRPr="00000000" w14:paraId="0000002C">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D">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E">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F">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30">
      <w:pPr>
        <w:spacing w:line="276" w:lineRule="auto"/>
        <w:jc w:val="both"/>
        <w:rPr>
          <w:sz w:val="20"/>
          <w:szCs w:val="20"/>
        </w:rPr>
      </w:pPr>
      <w:hyperlink r:id="rId12">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31">
      <w:pPr>
        <w:spacing w:line="276" w:lineRule="auto"/>
        <w:jc w:val="both"/>
        <w:rPr>
          <w:sz w:val="20"/>
          <w:szCs w:val="20"/>
        </w:rPr>
      </w:pPr>
      <w:r w:rsidDel="00000000" w:rsidR="00000000" w:rsidRPr="00000000">
        <w:rPr>
          <w:rtl w:val="0"/>
        </w:rPr>
      </w:r>
    </w:p>
    <w:p w:rsidR="00000000" w:rsidDel="00000000" w:rsidP="00000000" w:rsidRDefault="00000000" w:rsidRPr="00000000" w14:paraId="00000032">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ind w:left="0" w:firstLine="0"/>
        <w:jc w:val="both"/>
        <w:rPr/>
      </w:pPr>
      <w:r w:rsidDel="00000000" w:rsidR="00000000" w:rsidRPr="00000000">
        <w:rPr>
          <w:rtl w:val="0"/>
        </w:rPr>
      </w:r>
    </w:p>
    <w:p w:rsidR="00000000" w:rsidDel="00000000" w:rsidP="00000000" w:rsidRDefault="00000000" w:rsidRPr="00000000" w14:paraId="00000035">
      <w:pPr>
        <w:ind w:left="0" w:firstLine="0"/>
        <w:jc w:val="both"/>
        <w:rPr/>
      </w:pPr>
      <w:r w:rsidDel="00000000" w:rsidR="00000000" w:rsidRPr="00000000">
        <w:rPr>
          <w:rtl w:val="0"/>
        </w:rPr>
      </w:r>
    </w:p>
    <w:p w:rsidR="00000000" w:rsidDel="00000000" w:rsidP="00000000" w:rsidRDefault="00000000" w:rsidRPr="00000000" w14:paraId="00000036">
      <w:pPr>
        <w:ind w:left="0" w:firstLine="0"/>
        <w:jc w:val="both"/>
        <w:rPr/>
      </w:pPr>
      <w:r w:rsidDel="00000000" w:rsidR="00000000" w:rsidRPr="00000000">
        <w:rPr>
          <w:rtl w:val="0"/>
        </w:rPr>
      </w:r>
    </w:p>
    <w:p w:rsidR="00000000" w:rsidDel="00000000" w:rsidP="00000000" w:rsidRDefault="00000000" w:rsidRPr="00000000" w14:paraId="00000037">
      <w:pPr>
        <w:ind w:left="0" w:firstLine="0"/>
        <w:jc w:val="both"/>
        <w:rPr/>
      </w:pPr>
      <w:r w:rsidDel="00000000" w:rsidR="00000000" w:rsidRPr="00000000">
        <w:rPr>
          <w:rtl w:val="0"/>
        </w:rPr>
      </w:r>
    </w:p>
    <w:p w:rsidR="00000000" w:rsidDel="00000000" w:rsidP="00000000" w:rsidRDefault="00000000" w:rsidRPr="00000000" w14:paraId="00000038">
      <w:pPr>
        <w:ind w:left="0" w:firstLine="0"/>
        <w:jc w:val="both"/>
        <w:rPr/>
      </w:pPr>
      <w:r w:rsidDel="00000000" w:rsidR="00000000" w:rsidRPr="00000000">
        <w:rPr>
          <w:rtl w:val="0"/>
        </w:rPr>
      </w:r>
    </w:p>
    <w:p w:rsidR="00000000" w:rsidDel="00000000" w:rsidP="00000000" w:rsidRDefault="00000000" w:rsidRPr="00000000" w14:paraId="00000039">
      <w:pPr>
        <w:ind w:left="0" w:firstLine="0"/>
        <w:jc w:val="both"/>
        <w:rPr/>
      </w:pPr>
      <w:r w:rsidDel="00000000" w:rsidR="00000000" w:rsidRPr="00000000">
        <w:rPr>
          <w:rtl w:val="0"/>
        </w:rPr>
      </w:r>
    </w:p>
    <w:p w:rsidR="00000000" w:rsidDel="00000000" w:rsidP="00000000" w:rsidRDefault="00000000" w:rsidRPr="00000000" w14:paraId="0000003A">
      <w:pPr>
        <w:ind w:left="0" w:firstLine="0"/>
        <w:jc w:val="both"/>
        <w:rPr/>
      </w:pPr>
      <w:r w:rsidDel="00000000" w:rsidR="00000000" w:rsidRPr="00000000">
        <w:rPr>
          <w:rtl w:val="0"/>
        </w:rPr>
      </w:r>
    </w:p>
    <w:p w:rsidR="00000000" w:rsidDel="00000000" w:rsidP="00000000" w:rsidRDefault="00000000" w:rsidRPr="00000000" w14:paraId="0000003B">
      <w:pPr>
        <w:ind w:left="0" w:firstLine="0"/>
        <w:jc w:val="both"/>
        <w:rPr>
          <w:rFonts w:ascii="Calibri" w:cs="Calibri" w:eastAsia="Calibri" w:hAnsi="Calibri"/>
          <w:sz w:val="24"/>
          <w:szCs w:val="24"/>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center"/>
      <w:rPr/>
    </w:pPr>
    <w:r w:rsidDel="00000000" w:rsidR="00000000" w:rsidRPr="00000000">
      <w:rPr/>
      <w:drawing>
        <wp:inline distB="114300" distT="114300" distL="114300" distR="114300">
          <wp:extent cx="3810000"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e.barquera@another.co" TargetMode="External"/><Relationship Id="rId10" Type="http://schemas.openxmlformats.org/officeDocument/2006/relationships/hyperlink" Target="http://www.casadragones.com.mx" TargetMode="External"/><Relationship Id="rId13" Type="http://schemas.openxmlformats.org/officeDocument/2006/relationships/header" Target="header1.xm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